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3518" w14:textId="77777777" w:rsidR="00E31456" w:rsidRDefault="00E31456" w:rsidP="00AE25BA">
      <w:pPr>
        <w:jc w:val="right"/>
      </w:pPr>
    </w:p>
    <w:p w14:paraId="72E1420C" w14:textId="77777777" w:rsidR="00AE25BA" w:rsidRDefault="00AE25BA" w:rsidP="00AE25BA"/>
    <w:p w14:paraId="614D0974" w14:textId="132E7225" w:rsidR="00AE25BA" w:rsidRDefault="00AE25BA" w:rsidP="00AE25BA">
      <w:pPr>
        <w:spacing w:line="276" w:lineRule="auto"/>
        <w:jc w:val="center"/>
      </w:pPr>
      <w:r>
        <w:t>Table of Contents</w:t>
      </w:r>
    </w:p>
    <w:p w14:paraId="275D6388" w14:textId="77777777" w:rsidR="00AE25BA" w:rsidRDefault="00AE25BA" w:rsidP="00AE25BA">
      <w:pPr>
        <w:spacing w:line="276" w:lineRule="auto"/>
        <w:jc w:val="center"/>
      </w:pPr>
    </w:p>
    <w:p w14:paraId="1B7FB622" w14:textId="77777777" w:rsidR="00AE25BA" w:rsidRDefault="00AE25BA" w:rsidP="00AE25BA">
      <w:pPr>
        <w:spacing w:line="276" w:lineRule="auto"/>
        <w:jc w:val="center"/>
      </w:pPr>
    </w:p>
    <w:p w14:paraId="11AE029E" w14:textId="77777777" w:rsidR="00AE25BA" w:rsidRDefault="00AE25BA" w:rsidP="00AE25BA">
      <w:pPr>
        <w:spacing w:line="276" w:lineRule="auto"/>
        <w:jc w:val="center"/>
      </w:pPr>
    </w:p>
    <w:p w14:paraId="373178DB" w14:textId="7F0501B8" w:rsidR="00AE25BA" w:rsidRDefault="00AE25BA" w:rsidP="00AE25BA">
      <w:pPr>
        <w:spacing w:line="276" w:lineRule="auto"/>
      </w:pPr>
      <w:r w:rsidRPr="00AE25BA">
        <w:t>Factors to Consider in Choosing a Business Form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B8ABFA0" w14:textId="77777777" w:rsidR="00AE25BA" w:rsidRDefault="00AE25BA" w:rsidP="00AE25BA">
      <w:pPr>
        <w:spacing w:line="276" w:lineRule="auto"/>
      </w:pPr>
    </w:p>
    <w:p w14:paraId="6E7DDA7E" w14:textId="77777777" w:rsidR="00AE25BA" w:rsidRDefault="00AE25BA" w:rsidP="00AE25BA">
      <w:pPr>
        <w:spacing w:line="276" w:lineRule="auto"/>
      </w:pPr>
      <w:r w:rsidRPr="00AE25BA">
        <w:t xml:space="preserve">When Do I Need </w:t>
      </w:r>
      <w:proofErr w:type="gramStart"/>
      <w:r w:rsidRPr="00AE25BA">
        <w:t>A</w:t>
      </w:r>
      <w:proofErr w:type="gramEnd"/>
      <w:r w:rsidRPr="00AE25BA">
        <w:t xml:space="preserve"> New EIN?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  <w:r w:rsidRPr="00AE25BA">
        <w:t xml:space="preserve"> </w:t>
      </w:r>
    </w:p>
    <w:p w14:paraId="5E5264FE" w14:textId="69776735" w:rsidR="00AE25BA" w:rsidRDefault="00AE25BA" w:rsidP="00AE25BA">
      <w:pPr>
        <w:spacing w:line="276" w:lineRule="auto"/>
        <w:ind w:firstLine="720"/>
      </w:pPr>
      <w:r w:rsidRPr="00AE25BA">
        <w:t>Sole Proprietors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96732C2" w14:textId="250EED58" w:rsidR="00AE25BA" w:rsidRDefault="00AE25BA" w:rsidP="00AE25BA">
      <w:pPr>
        <w:spacing w:line="276" w:lineRule="auto"/>
        <w:ind w:firstLine="720"/>
      </w:pPr>
      <w:r w:rsidRPr="00AE25BA">
        <w:t>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8C14EEA" w14:textId="31F81B9E" w:rsidR="00AE25BA" w:rsidRDefault="00AE25BA" w:rsidP="00AE25BA">
      <w:pPr>
        <w:spacing w:line="276" w:lineRule="auto"/>
        <w:ind w:firstLine="720"/>
      </w:pPr>
      <w:r w:rsidRPr="00AE25BA">
        <w:t>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FE7B66A" w14:textId="218742C5" w:rsidR="00AE25BA" w:rsidRDefault="00AE25BA" w:rsidP="00AE25BA">
      <w:pPr>
        <w:spacing w:line="276" w:lineRule="auto"/>
        <w:ind w:firstLine="720"/>
      </w:pPr>
      <w:r w:rsidRPr="00AE25BA">
        <w:t>Limited Liability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2F068DC9" w14:textId="0F667232" w:rsidR="00AE25BA" w:rsidRDefault="00AE25BA" w:rsidP="00AE25BA">
      <w:pPr>
        <w:spacing w:line="276" w:lineRule="auto"/>
        <w:ind w:firstLine="720"/>
      </w:pPr>
      <w:r w:rsidRPr="00AE25BA">
        <w:t>Single Member LLCs with Employees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6D6A5B6" w14:textId="77777777" w:rsidR="00AE25BA" w:rsidRDefault="00AE25BA" w:rsidP="00AE25BA">
      <w:pPr>
        <w:spacing w:line="276" w:lineRule="auto"/>
      </w:pPr>
    </w:p>
    <w:p w14:paraId="0BC91A6F" w14:textId="04E52578" w:rsidR="00AE25BA" w:rsidRDefault="00AE25BA" w:rsidP="00AE25BA">
      <w:pPr>
        <w:spacing w:line="276" w:lineRule="auto"/>
      </w:pPr>
      <w:r w:rsidRPr="00AE25BA">
        <w:t>Formation Issues-Entities Taxed as Partnerships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1D4AAF0" w14:textId="31D9BCC2" w:rsidR="00AE25BA" w:rsidRDefault="00AE25BA" w:rsidP="00AE25BA">
      <w:pPr>
        <w:spacing w:line="276" w:lineRule="auto"/>
        <w:ind w:firstLine="720"/>
      </w:pPr>
      <w:r w:rsidRPr="00AE25BA">
        <w:t>Non-Taxable Aspects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9DA3012" w14:textId="17C5EF48" w:rsidR="00AE25BA" w:rsidRDefault="00AE25BA" w:rsidP="00AE25BA">
      <w:pPr>
        <w:spacing w:line="276" w:lineRule="auto"/>
        <w:ind w:firstLine="720"/>
      </w:pPr>
      <w:r w:rsidRPr="00AE25BA">
        <w:t>Taxable Aspects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0CB5416A" w14:textId="77777777" w:rsidR="00AE25BA" w:rsidRDefault="00AE25BA" w:rsidP="00AE25BA">
      <w:pPr>
        <w:spacing w:line="276" w:lineRule="auto"/>
      </w:pPr>
    </w:p>
    <w:p w14:paraId="7D7599EA" w14:textId="51B50736" w:rsidR="00AE25BA" w:rsidRDefault="00AE25BA" w:rsidP="00AE25BA">
      <w:pPr>
        <w:spacing w:line="276" w:lineRule="auto"/>
      </w:pPr>
      <w:r w:rsidRPr="00AE25BA">
        <w:t>Formation Issues-Corporations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7B2D94D" w14:textId="035B958F" w:rsidR="00AE25BA" w:rsidRDefault="00AE25BA" w:rsidP="00AE25BA">
      <w:pPr>
        <w:spacing w:line="276" w:lineRule="auto"/>
        <w:ind w:firstLine="720"/>
      </w:pPr>
      <w:r w:rsidRPr="00AE25BA">
        <w:t>Mandatory Rules of §351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70669762" w14:textId="2E67A916" w:rsidR="00AE25BA" w:rsidRDefault="00AE25BA" w:rsidP="00AE25BA">
      <w:pPr>
        <w:spacing w:line="276" w:lineRule="auto"/>
        <w:ind w:firstLine="720"/>
      </w:pPr>
      <w:r w:rsidRPr="00AE25BA">
        <w:t>The Problem with Liabilities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0584597" w14:textId="53EAE5A7" w:rsidR="00AE25BA" w:rsidRDefault="00AE25BA" w:rsidP="00AE25BA">
      <w:pPr>
        <w:spacing w:line="276" w:lineRule="auto"/>
        <w:ind w:firstLine="720"/>
      </w:pPr>
      <w:r w:rsidRPr="00AE25BA">
        <w:t>Section 351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3F45A98C" w14:textId="00E49E6A" w:rsidR="00AE25BA" w:rsidRDefault="00AE25BA" w:rsidP="00AE25BA">
      <w:pPr>
        <w:spacing w:line="276" w:lineRule="auto"/>
        <w:ind w:firstLine="720"/>
      </w:pPr>
      <w:r w:rsidRPr="00AE25BA">
        <w:t>Section 351 Attachment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128AD0B2" w14:textId="33184A5C" w:rsidR="00AE25BA" w:rsidRDefault="00AE25BA" w:rsidP="00AE25BA">
      <w:pPr>
        <w:spacing w:line="276" w:lineRule="auto"/>
        <w:ind w:firstLine="720"/>
      </w:pPr>
      <w:r w:rsidRPr="00AE25BA">
        <w:t>Situations When to Avoid the §351 Rules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AFAA964" w14:textId="2AA921B1" w:rsidR="00AE25BA" w:rsidRDefault="00AE25BA" w:rsidP="00AE25BA">
      <w:pPr>
        <w:spacing w:line="276" w:lineRule="auto"/>
        <w:ind w:firstLine="720"/>
      </w:pPr>
      <w:r w:rsidRPr="00AE25BA">
        <w:t>Example 1 Using an NOL carryforward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478C5081" w14:textId="403FB07B" w:rsidR="00AE25BA" w:rsidRDefault="00AE25BA" w:rsidP="00AE25BA">
      <w:pPr>
        <w:spacing w:line="276" w:lineRule="auto"/>
        <w:ind w:firstLine="720"/>
      </w:pPr>
      <w:r w:rsidRPr="00AE25BA">
        <w:t>Example 2 Using a capital loss carryforward and NOL</w:t>
      </w:r>
      <w:r>
        <w:tab/>
      </w:r>
      <w:r>
        <w:tab/>
      </w:r>
      <w:r>
        <w:tab/>
      </w:r>
      <w:r>
        <w:tab/>
        <w:t>23</w:t>
      </w:r>
    </w:p>
    <w:p w14:paraId="5FBACE63" w14:textId="0786C9CE" w:rsidR="00AE25BA" w:rsidRDefault="00AE25BA" w:rsidP="00AE25BA">
      <w:pPr>
        <w:spacing w:line="276" w:lineRule="auto"/>
        <w:ind w:firstLine="720"/>
      </w:pPr>
      <w:r w:rsidRPr="00AE25BA">
        <w:t>Contributions to Capital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62D4E93" w14:textId="77777777" w:rsidR="00AE25BA" w:rsidRDefault="00AE25BA" w:rsidP="00AE25BA">
      <w:pPr>
        <w:spacing w:line="276" w:lineRule="auto"/>
      </w:pPr>
    </w:p>
    <w:p w14:paraId="74C87ABE" w14:textId="5E9BF3F4" w:rsidR="00AE25BA" w:rsidRDefault="00AE25BA" w:rsidP="00AE25BA">
      <w:pPr>
        <w:spacing w:line="276" w:lineRule="auto"/>
      </w:pPr>
      <w:r w:rsidRPr="00AE25BA">
        <w:t>Section 1244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B8A77A2" w14:textId="41978E05" w:rsidR="00AE25BA" w:rsidRDefault="00AE25BA" w:rsidP="00AE25BA">
      <w:pPr>
        <w:spacing w:line="276" w:lineRule="auto"/>
        <w:ind w:firstLine="720"/>
      </w:pPr>
      <w:r w:rsidRPr="00AE25BA">
        <w:t>Qualifying Rules for §1244 Corporations and Shareholders</w:t>
      </w:r>
      <w:r>
        <w:tab/>
      </w:r>
      <w:r>
        <w:tab/>
      </w:r>
      <w:r>
        <w:tab/>
      </w:r>
      <w:r>
        <w:tab/>
        <w:t>25</w:t>
      </w:r>
    </w:p>
    <w:p w14:paraId="4684D587" w14:textId="37A86AEF" w:rsidR="00AE25BA" w:rsidRDefault="00AE25BA" w:rsidP="00AE25BA">
      <w:pPr>
        <w:spacing w:line="276" w:lineRule="auto"/>
        <w:ind w:firstLine="720"/>
      </w:pPr>
      <w:r w:rsidRPr="00AE25BA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55B55A1C" w14:textId="77777777" w:rsidR="00AE25BA" w:rsidRDefault="00AE25BA" w:rsidP="00AE25BA">
      <w:pPr>
        <w:spacing w:line="276" w:lineRule="auto"/>
      </w:pPr>
    </w:p>
    <w:p w14:paraId="4C6C2FCE" w14:textId="4C2017D1" w:rsidR="00AE25BA" w:rsidRDefault="00AE25BA" w:rsidP="00AE25BA">
      <w:pPr>
        <w:spacing w:line="276" w:lineRule="auto"/>
      </w:pPr>
      <w:r w:rsidRPr="00AE25BA">
        <w:t>Section 1202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3F9A288A" w14:textId="77777777" w:rsidR="00AE25BA" w:rsidRPr="00AE25BA" w:rsidRDefault="00AE25BA" w:rsidP="00AE25BA">
      <w:pPr>
        <w:ind w:firstLine="720"/>
      </w:pPr>
    </w:p>
    <w:sectPr w:rsidR="00AE25BA" w:rsidRPr="00AE25BA" w:rsidSect="00AE2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7A08" w14:textId="77777777" w:rsidR="002712E0" w:rsidRDefault="002712E0" w:rsidP="00AE25BA">
      <w:r>
        <w:separator/>
      </w:r>
    </w:p>
  </w:endnote>
  <w:endnote w:type="continuationSeparator" w:id="0">
    <w:p w14:paraId="00183595" w14:textId="77777777" w:rsidR="002712E0" w:rsidRDefault="002712E0" w:rsidP="00AE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B2F2" w14:textId="77777777" w:rsidR="00533F2F" w:rsidRDefault="00533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BAE5" w14:textId="3C983014" w:rsidR="00AE25BA" w:rsidRPr="00AE25BA" w:rsidRDefault="00AE25BA" w:rsidP="00AE25BA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4F80744" wp14:editId="2DA9BF9E">
          <wp:simplePos x="0" y="0"/>
          <wp:positionH relativeFrom="column">
            <wp:posOffset>48695</wp:posOffset>
          </wp:positionH>
          <wp:positionV relativeFrom="paragraph">
            <wp:posOffset>5715</wp:posOffset>
          </wp:positionV>
          <wp:extent cx="1580483" cy="322513"/>
          <wp:effectExtent l="0" t="0" r="0" b="0"/>
          <wp:wrapNone/>
          <wp:docPr id="1224335900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335900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83" cy="32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25BA">
      <w:rPr>
        <w:sz w:val="20"/>
        <w:szCs w:val="20"/>
      </w:rPr>
      <w:t>Table of Contents</w:t>
    </w:r>
  </w:p>
  <w:p w14:paraId="2B49C305" w14:textId="27C49BC2" w:rsidR="00AE25BA" w:rsidRPr="00AE25BA" w:rsidRDefault="00AE25BA" w:rsidP="00AE25BA">
    <w:pPr>
      <w:pStyle w:val="Footer"/>
      <w:jc w:val="right"/>
      <w:rPr>
        <w:sz w:val="20"/>
        <w:szCs w:val="20"/>
      </w:rPr>
    </w:pPr>
    <w:r w:rsidRPr="00AE25BA">
      <w:rPr>
        <w:sz w:val="20"/>
        <w:szCs w:val="20"/>
      </w:rPr>
      <w:t>Copyright © 2025, Jennings Advisory Group,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B809" w14:textId="77777777" w:rsidR="00533F2F" w:rsidRDefault="0053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5BAF" w14:textId="77777777" w:rsidR="002712E0" w:rsidRDefault="002712E0" w:rsidP="00AE25BA">
      <w:r>
        <w:separator/>
      </w:r>
    </w:p>
  </w:footnote>
  <w:footnote w:type="continuationSeparator" w:id="0">
    <w:p w14:paraId="0E653580" w14:textId="77777777" w:rsidR="002712E0" w:rsidRDefault="002712E0" w:rsidP="00AE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D232" w14:textId="77777777" w:rsidR="00533F2F" w:rsidRDefault="00533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B9A9" w14:textId="4B0284ED" w:rsidR="00AE25BA" w:rsidRDefault="00AE25BA" w:rsidP="00AE25BA">
    <w:pPr>
      <w:pStyle w:val="Header"/>
      <w:jc w:val="right"/>
    </w:pPr>
    <w:r>
      <w:t xml:space="preserve">2025 </w:t>
    </w:r>
    <w:r w:rsidR="00533F2F">
      <w:t>Entity</w:t>
    </w:r>
    <w:r>
      <w:t xml:space="preserve"> Formation Issues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FC34" w14:textId="77777777" w:rsidR="00533F2F" w:rsidRDefault="00533F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BA"/>
    <w:rsid w:val="00040B8D"/>
    <w:rsid w:val="000573B5"/>
    <w:rsid w:val="001A4AE2"/>
    <w:rsid w:val="002712E0"/>
    <w:rsid w:val="002E3422"/>
    <w:rsid w:val="00533F2F"/>
    <w:rsid w:val="005B0E17"/>
    <w:rsid w:val="005B5F37"/>
    <w:rsid w:val="006B07FE"/>
    <w:rsid w:val="007965CA"/>
    <w:rsid w:val="00822D29"/>
    <w:rsid w:val="00A602BD"/>
    <w:rsid w:val="00AD2332"/>
    <w:rsid w:val="00AE25BA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23847"/>
  <w15:chartTrackingRefBased/>
  <w15:docId w15:val="{86D306C0-EF0F-214D-9B15-0D8C5F6D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5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5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5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5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5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5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5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5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5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5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5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5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5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5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5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5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5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5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5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2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5BA"/>
  </w:style>
  <w:style w:type="paragraph" w:styleId="Footer">
    <w:name w:val="footer"/>
    <w:basedOn w:val="Normal"/>
    <w:link w:val="FooterChar"/>
    <w:uiPriority w:val="99"/>
    <w:unhideWhenUsed/>
    <w:rsid w:val="00AE25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2025-02-05T16:52:00Z</dcterms:created>
  <dcterms:modified xsi:type="dcterms:W3CDTF">2025-02-27T17:07:00Z</dcterms:modified>
</cp:coreProperties>
</file>